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Zarządzenie Nr 5/2022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Dyrektora Miejskiego Przedszkola Nr 3 w Ostrowi Mazowieckiej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lang w:eastAsia="pl-PL"/>
        </w:rPr>
        <w:t xml:space="preserve">z dnia 25.08. 2022r.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Cs/>
          <w:iCs/>
          <w:lang w:eastAsia="pl-PL"/>
        </w:rPr>
      </w:pPr>
      <w:r>
        <w:rPr>
          <w:rFonts w:ascii="Cambria" w:hAnsi="Cambria" w:cs="Times New Roman" w:eastAsia="Times New Roman" w:asciiTheme="majorHAnsi" w:hAnsiTheme="majorHAnsi"/>
          <w:bCs/>
          <w:iCs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Cs/>
          <w:iCs/>
          <w:lang w:eastAsia="pl-PL"/>
        </w:rPr>
      </w:pPr>
      <w:r>
        <w:rPr>
          <w:rFonts w:ascii="Cambria" w:hAnsi="Cambria" w:cs="Times New Roman" w:eastAsia="Times New Roman" w:asciiTheme="majorHAnsi" w:hAnsiTheme="majorHAnsi"/>
          <w:bCs/>
          <w:iCs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/>
          <w:bCs/>
          <w:iCs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bCs/>
          <w:iCs/>
          <w:lang w:eastAsia="pl-PL"/>
        </w:rPr>
        <w:t xml:space="preserve">w sprawie ustalenia warunków korzystania ze stołówki oraz opłat za posiłki 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bCs/>
          <w:iCs/>
          <w:lang w:eastAsia="pl-PL"/>
        </w:rPr>
        <w:t xml:space="preserve">w Miejskim Przedszkolu Nr 3 w Ostrowi Mazowieckiej 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lang w:eastAsia="pl-PL"/>
        </w:rPr>
        <w:t xml:space="preserve">w roku szkolnym 2022/20223</w:t>
      </w:r>
      <w:r>
        <w:rPr>
          <w:rFonts w:asciiTheme="majorHAnsi" w:hAnsiTheme="majorHAnsi"/>
        </w:rPr>
      </w:r>
    </w:p>
    <w:p>
      <w:pPr>
        <w:pStyle w:val="610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Na podstawie  art. 106 ust. 3 i 4 ustawy z dnia 14 grudnia 2016 r. – Prawo oświatowe (Dz. U.                 z 2021 r. poz. 1082</w:t>
      </w:r>
      <w:r>
        <w:rPr>
          <w:rFonts w:ascii="Cambria" w:hAnsi="Cambria" w:asciiTheme="majorHAnsi" w:hAnsiTheme="majorHAnsi"/>
        </w:rPr>
        <w:t xml:space="preserve"> oraz 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, § </w:t>
      </w:r>
      <w:r>
        <w:rPr>
          <w:rFonts w:ascii="Cambria" w:hAnsi="Cambria" w:cs="Times New Roman" w:eastAsia="Times New Roman" w:asciiTheme="majorHAnsi" w:hAnsiTheme="majorHAnsi"/>
          <w:bCs/>
          <w:lang w:eastAsia="pl-PL"/>
        </w:rPr>
        <w:t xml:space="preserve">1 ust. 2</w:t>
      </w: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  </w:t>
      </w:r>
      <w:r>
        <w:rPr>
          <w:rFonts w:ascii="Cambria" w:hAnsi="Cambria" w:cs="Times New Roman" w:eastAsia="Times New Roman" w:asciiTheme="majorHAnsi" w:hAnsiTheme="majorHAnsi"/>
          <w:bCs/>
          <w:lang w:eastAsia="pl-PL"/>
        </w:rPr>
        <w:t xml:space="preserve">oraz</w:t>
      </w: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  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§ </w:t>
      </w:r>
      <w:r>
        <w:rPr>
          <w:rFonts w:ascii="Cambria" w:hAnsi="Cambria" w:cs="Times New Roman" w:eastAsia="Times New Roman" w:asciiTheme="majorHAnsi" w:hAnsiTheme="majorHAnsi"/>
          <w:bCs/>
          <w:lang w:eastAsia="pl-PL"/>
        </w:rPr>
        <w:t xml:space="preserve">3  ust. 1 i 2 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Zarządzenia  Burmistrza miasta Ostrów Mazowiecka zarządza się, co następuje: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§ </w:t>
      </w: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1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.</w:t>
      </w:r>
      <w:r>
        <w:rPr>
          <w:rFonts w:asciiTheme="majorHAnsi" w:hAnsiTheme="majorHAnsi"/>
        </w:rPr>
      </w:r>
    </w:p>
    <w:p>
      <w:pPr>
        <w:pStyle w:val="610"/>
        <w:jc w:val="both"/>
        <w:spacing w:lineRule="auto" w:line="24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Do korzystania z posiłków w stołówce przedszkolnej uprawnieni są uczniowie oraz zatrudnieni pracownicy Miejskiego Przedszkola nr 3 w Ostrowi Mazowieckiej.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§ </w:t>
      </w: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2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.</w:t>
      </w:r>
      <w:r>
        <w:rPr>
          <w:rFonts w:asciiTheme="majorHAnsi" w:hAnsiTheme="majorHAnsi"/>
        </w:rPr>
      </w:r>
    </w:p>
    <w:p>
      <w:pPr>
        <w:pStyle w:val="623"/>
        <w:numPr>
          <w:ilvl w:val="0"/>
          <w:numId w:val="2"/>
        </w:numPr>
        <w:jc w:val="both"/>
        <w:spacing w:after="68" w:before="0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Uczniowie oraz pracownicy mogą korzystać z całodziennego wyżywienia bądź                              z wybranego posiłku. </w:t>
      </w:r>
      <w:r>
        <w:rPr>
          <w:rFonts w:asciiTheme="majorHAnsi" w:hAnsiTheme="majorHAnsi"/>
        </w:rPr>
      </w:r>
    </w:p>
    <w:p>
      <w:pPr>
        <w:pStyle w:val="623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Zakłada się następujące proporcje kosztów przygotowania poszczególnych posiłków: </w:t>
      </w:r>
      <w:r>
        <w:rPr>
          <w:rFonts w:asciiTheme="majorHAnsi" w:hAnsiTheme="majorHAnsi"/>
        </w:rPr>
      </w:r>
    </w:p>
    <w:p>
      <w:pPr>
        <w:pStyle w:val="623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koszty przygotowania śniadania wynoszą - 25% całodziennej stawki żywieniowej; </w:t>
      </w:r>
      <w:r>
        <w:rPr>
          <w:rFonts w:asciiTheme="majorHAnsi" w:hAnsiTheme="majorHAnsi"/>
        </w:rPr>
      </w:r>
    </w:p>
    <w:p>
      <w:pPr>
        <w:pStyle w:val="623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koszty przygotowania obiadu wynoszą  - 50% całodziennej stawki żywieniowej; </w:t>
      </w:r>
      <w:r>
        <w:rPr>
          <w:rFonts w:asciiTheme="majorHAnsi" w:hAnsiTheme="majorHAnsi"/>
        </w:rPr>
      </w:r>
    </w:p>
    <w:p>
      <w:pPr>
        <w:pStyle w:val="623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koszty przygotowania podwieczorku wynoszą - 25% całodziennej stawki żywieniowej.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§</w:t>
      </w: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 3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.</w:t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Opłaty za posiłki dla uczniów obliczone wynoszą:    </w:t>
      </w:r>
      <w:r>
        <w:rPr>
          <w:rFonts w:asciiTheme="majorHAnsi" w:hAnsiTheme="majorHAnsi"/>
        </w:rPr>
      </w:r>
    </w:p>
    <w:p>
      <w:pPr>
        <w:pStyle w:val="610"/>
        <w:ind w:firstLine="708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1) śniadanie 2,50 zł;</w:t>
      </w:r>
      <w:r>
        <w:rPr>
          <w:rFonts w:asciiTheme="majorHAnsi" w:hAnsiTheme="majorHAnsi"/>
        </w:rPr>
      </w:r>
    </w:p>
    <w:p>
      <w:pPr>
        <w:pStyle w:val="610"/>
        <w:ind w:firstLine="708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2) obiad 5,00 zł;</w:t>
      </w:r>
      <w:r>
        <w:rPr>
          <w:rFonts w:asciiTheme="majorHAnsi" w:hAnsiTheme="majorHAnsi"/>
        </w:rPr>
      </w:r>
    </w:p>
    <w:p>
      <w:pPr>
        <w:pStyle w:val="610"/>
        <w:ind w:firstLine="708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3) podwieczorek 2,50 zł.</w:t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Opłaty za posiłki dla pracowników wynoszą:</w:t>
      </w:r>
      <w:r>
        <w:rPr>
          <w:rFonts w:asciiTheme="majorHAnsi" w:hAnsiTheme="majorHAnsi"/>
        </w:rPr>
      </w:r>
    </w:p>
    <w:p>
      <w:pPr>
        <w:pStyle w:val="622"/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1) obiad 5,00 zł;</w:t>
      </w:r>
      <w:r>
        <w:rPr>
          <w:rFonts w:asciiTheme="majorHAnsi" w:hAnsiTheme="majorHAnsi"/>
        </w:rPr>
      </w:r>
    </w:p>
    <w:p>
      <w:pPr>
        <w:pStyle w:val="622"/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2) usługa 5,00 zł</w:t>
      </w:r>
      <w:r>
        <w:rPr>
          <w:rFonts w:asciiTheme="majorHAnsi" w:hAnsiTheme="majorHAnsi"/>
        </w:rPr>
      </w:r>
    </w:p>
    <w:p>
      <w:pPr>
        <w:pStyle w:val="622"/>
        <w:contextualSpacing w:val="true"/>
        <w:ind w:left="502" w:firstLine="0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Opłaty, o których mowa w ust. 1 i 2  za miesiąc wnosi się z góry do 10 każdego miesiąca.</w:t>
      </w:r>
      <w:r>
        <w:rPr>
          <w:rFonts w:asciiTheme="majorHAnsi" w:hAnsiTheme="majorHAnsi"/>
        </w:rPr>
      </w:r>
    </w:p>
    <w:p>
      <w:pPr>
        <w:pStyle w:val="622"/>
        <w:contextualSpacing w:val="true"/>
        <w:ind w:left="502" w:firstLine="0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contextualSpacing w:val="true"/>
        <w:jc w:val="both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Kwota opłaty za wyżywienie zostaje wyliczona na zasadzie pomnożenia liczby dni roboczych w danym miesiącu przez łączną kwotę zadeklarowanych dziennie posiłków – wg </w:t>
      </w:r>
      <w:r>
        <w:rPr>
          <w:rFonts w:ascii="Cambria" w:hAnsi="Cambria" w:cs="Times New Roman" w:eastAsia="Times New Roman" w:asciiTheme="majorHAnsi" w:hAnsiTheme="majorHAnsi"/>
          <w:b/>
          <w:lang w:eastAsia="pl-PL"/>
        </w:rPr>
        <w:t xml:space="preserve">Deklaracji Przedszkolaka 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stanowiącej </w:t>
      </w:r>
      <w:r>
        <w:rPr>
          <w:rFonts w:ascii="Cambria" w:hAnsi="Cambria" w:cs="Times New Roman" w:eastAsia="Times New Roman" w:asciiTheme="majorHAnsi" w:hAnsiTheme="majorHAnsi"/>
          <w:b/>
          <w:lang w:eastAsia="pl-PL"/>
        </w:rPr>
        <w:t xml:space="preserve">załącznik</w:t>
      </w: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 do niniejszego zarządzenia.</w:t>
      </w:r>
      <w:r>
        <w:rPr>
          <w:rFonts w:asciiTheme="majorHAnsi" w:hAnsiTheme="majorHAnsi"/>
        </w:rPr>
      </w:r>
    </w:p>
    <w:p>
      <w:pPr>
        <w:pStyle w:val="610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contextualSpacing w:val="true"/>
        <w:jc w:val="both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W przypadku nieobecności ucznia opłata miesięczna ulega proporcjonalnego obniżeniu, odpowiednio do liczby dni nieobecności. Rozliczenie następuje poprzez obniżenie opłaty w kolejnym miesiącu.</w:t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jc w:val="both"/>
        <w:spacing w:lineRule="auto" w:line="24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W przypadku rezygnacji z żywienia w trakcie trwania miesiąca rozliczenie płatności nastąpi w kolejnym miesiącu.</w:t>
      </w:r>
      <w:r>
        <w:rPr>
          <w:rFonts w:asciiTheme="majorHAnsi" w:hAnsiTheme="majorHAnsi"/>
        </w:rPr>
      </w:r>
    </w:p>
    <w:p>
      <w:pPr>
        <w:pStyle w:val="622"/>
        <w:numPr>
          <w:ilvl w:val="0"/>
          <w:numId w:val="1"/>
        </w:numPr>
        <w:jc w:val="both"/>
        <w:spacing w:lineRule="auto" w:line="24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Termin płatności oznacza dzień wpływu należności na rachunek bankowy przedszkola.</w:t>
      </w:r>
      <w:r>
        <w:rPr>
          <w:rFonts w:asciiTheme="majorHAnsi" w:hAnsiTheme="majorHAnsi"/>
        </w:rPr>
      </w:r>
    </w:p>
    <w:p>
      <w:pPr>
        <w:pStyle w:val="610"/>
        <w:jc w:val="center"/>
        <w:spacing w:lineRule="auto" w:line="240" w:after="0" w:before="0"/>
        <w:rPr>
          <w:rFonts w:ascii="Cambria" w:hAnsi="Cambria" w:cs="Times New Roman" w:eastAsia="Times New Roman" w:asciiTheme="majorHAnsi" w:hAnsiTheme="majorHAnsi"/>
          <w:b/>
          <w:bCs/>
          <w:lang w:eastAsia="pl-PL"/>
        </w:rPr>
      </w:pPr>
      <w:r>
        <w:rPr>
          <w:rFonts w:ascii="Cambria" w:hAnsi="Cambria" w:cs="Times New Roman" w:eastAsia="Times New Roman" w:asciiTheme="majorHAnsi" w:hAnsiTheme="majorHAnsi"/>
          <w:b/>
          <w:bCs/>
          <w:lang w:eastAsia="pl-PL"/>
        </w:rPr>
        <w:t xml:space="preserve">§ 4.</w:t>
      </w:r>
      <w:r>
        <w:rPr>
          <w:rFonts w:asciiTheme="majorHAnsi" w:hAnsiTheme="majorHAnsi"/>
        </w:rPr>
      </w:r>
    </w:p>
    <w:p>
      <w:pPr>
        <w:pStyle w:val="610"/>
        <w:spacing w:lineRule="auto" w:line="240" w:after="0" w:before="0"/>
      </w:pPr>
      <w:r>
        <w:rPr>
          <w:rFonts w:ascii="Cambria" w:hAnsi="Cambria" w:cs="Times New Roman" w:eastAsia="Times New Roman" w:asciiTheme="majorHAnsi" w:hAnsiTheme="majorHAnsi"/>
          <w:lang w:eastAsia="pl-PL"/>
        </w:rPr>
        <w:t xml:space="preserve">Zarządzenie wchodzi w życie z dniem 1 września 2022 r.</w:t>
      </w:r>
      <w:r>
        <w:rPr>
          <w:rFonts w:asciiTheme="majorHAnsi" w:hAnsiTheme="majorHAnsi"/>
        </w:rPr>
      </w:r>
    </w:p>
    <w:p>
      <w:pPr>
        <w:pStyle w:val="610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spacing w:lineRule="auto" w:line="240" w:after="0" w:before="0"/>
        <w:rPr>
          <w:rFonts w:ascii="Cambria" w:hAnsi="Cambria" w:cs="Times New Roman" w:eastAsia="Times New Roman" w:asciiTheme="majorHAnsi" w:hAnsiTheme="majorHAnsi"/>
          <w:lang w:eastAsia="pl-PL"/>
        </w:rPr>
      </w:pPr>
      <w:r>
        <w:rPr>
          <w:rFonts w:ascii="Cambria" w:hAnsi="Cambria" w:cs="Times New Roman" w:eastAsia="Times New Roman" w:asciiTheme="majorHAnsi" w:hAnsiTheme="majorHAnsi"/>
          <w:lang w:eastAsia="pl-PL"/>
        </w:rPr>
      </w:r>
      <w:r>
        <w:rPr>
          <w:rFonts w:asciiTheme="majorHAnsi" w:hAnsiTheme="majorHAnsi"/>
        </w:rPr>
      </w:r>
    </w:p>
    <w:p>
      <w:pPr>
        <w:pStyle w:val="610"/>
        <w:jc w:val="left"/>
        <w:spacing w:lineRule="auto" w:line="240" w:after="0" w:before="0"/>
        <w:rPr>
          <w:rFonts w:ascii="Cambria" w:hAnsi="Cambria" w:asciiTheme="majorHAnsi" w:hAnsiTheme="majorHAnsi"/>
          <w:i/>
          <w:sz w:val="18"/>
          <w:szCs w:val="18"/>
        </w:rPr>
      </w:pPr>
      <w:r>
        <w:rPr>
          <w:rFonts w:ascii="Cambria" w:hAnsi="Cambria" w:asciiTheme="majorHAnsi" w:hAnsiTheme="majorHAnsi"/>
          <w:i/>
          <w:sz w:val="18"/>
          <w:szCs w:val="18"/>
        </w:rPr>
      </w:r>
      <w:r>
        <w:rPr>
          <w:rFonts w:asciiTheme="majorHAnsi" w:hAnsiTheme="majorHAnsi"/>
        </w:rPr>
      </w:r>
    </w:p>
    <w:p>
      <w:pPr>
        <w:pStyle w:val="610"/>
        <w:jc w:val="both"/>
        <w:spacing w:lineRule="auto" w:line="240" w:after="0" w:before="0"/>
      </w:pP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sectPr>
      <w:footnotePr/>
      <w:endnotePr/>
      <w:type w:val="nextPage"/>
      <w:pgSz w:w="11906" w:h="16838" w:orient="portrait"/>
      <w:pgMar w:top="1134" w:right="1417" w:bottom="1417" w:left="1417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Lucida Sans">
    <w:panose1 w:val="020B06020305040202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3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0"/>
    <w:next w:val="6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2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2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2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2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2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2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pl-PL" w:bidi="ar-SA" w:eastAsia="en-US"/>
    </w:rPr>
    <w:pPr>
      <w:jc w:val="left"/>
      <w:spacing w:lineRule="auto" w:line="276" w:after="200" w:before="0"/>
      <w:widowControl/>
    </w:pPr>
  </w:style>
  <w:style w:type="paragraph" w:styleId="611">
    <w:name w:val="Nagłówek 1"/>
    <w:basedOn w:val="610"/>
    <w:link w:val="613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  <w:pPr>
      <w:spacing w:lineRule="auto" w:line="240" w:afterAutospacing="1" w:beforeAutospacing="1"/>
      <w:outlineLvl w:val="0"/>
    </w:pPr>
  </w:style>
  <w:style w:type="character" w:styleId="612" w:default="1">
    <w:name w:val="Default Paragraph Font"/>
    <w:qFormat/>
    <w:uiPriority w:val="1"/>
    <w:semiHidden/>
    <w:unhideWhenUsed/>
  </w:style>
  <w:style w:type="character" w:styleId="613" w:customStyle="1">
    <w:name w:val="Nagłówek 1 Znak"/>
    <w:basedOn w:val="612"/>
    <w:link w:val="611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614" w:customStyle="1">
    <w:name w:val="Tekst dymka Znak"/>
    <w:basedOn w:val="612"/>
    <w:qFormat/>
    <w:uiPriority w:val="99"/>
    <w:semiHidden/>
    <w:rPr>
      <w:rFonts w:ascii="Tahoma" w:hAnsi="Tahoma" w:cs="Tahoma"/>
      <w:sz w:val="16"/>
      <w:szCs w:val="16"/>
    </w:rPr>
  </w:style>
  <w:style w:type="character" w:styleId="615">
    <w:name w:val="ListLabel 1"/>
    <w:qFormat/>
    <w:rPr>
      <w:rFonts w:cs="Courier New"/>
    </w:rPr>
  </w:style>
  <w:style w:type="paragraph" w:styleId="616">
    <w:name w:val="Nagłówek"/>
    <w:basedOn w:val="610"/>
    <w:next w:val="617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617">
    <w:name w:val="Treść tekstu"/>
    <w:basedOn w:val="610"/>
    <w:pPr>
      <w:spacing w:lineRule="auto" w:line="288" w:after="140" w:before="0"/>
    </w:pPr>
  </w:style>
  <w:style w:type="paragraph" w:styleId="618">
    <w:name w:val="Lista"/>
    <w:basedOn w:val="617"/>
    <w:rPr>
      <w:rFonts w:cs="Lucida Sans"/>
    </w:rPr>
  </w:style>
  <w:style w:type="paragraph" w:styleId="619">
    <w:name w:val="Podpis"/>
    <w:basedOn w:val="610"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620">
    <w:name w:val="Indeks"/>
    <w:basedOn w:val="610"/>
    <w:qFormat/>
    <w:rPr>
      <w:rFonts w:cs="Lucida Sans"/>
    </w:rPr>
    <w:pPr>
      <w:suppressLineNumbers/>
    </w:pPr>
  </w:style>
  <w:style w:type="paragraph" w:styleId="621">
    <w:name w:val="Normal (Web)"/>
    <w:basedOn w:val="610"/>
    <w:qFormat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l-PL"/>
    </w:rPr>
    <w:pPr>
      <w:spacing w:lineRule="auto" w:line="240" w:afterAutospacing="1" w:beforeAutospacing="1"/>
    </w:pPr>
  </w:style>
  <w:style w:type="paragraph" w:styleId="622">
    <w:name w:val="List Paragraph"/>
    <w:basedOn w:val="610"/>
    <w:qFormat/>
    <w:uiPriority w:val="34"/>
    <w:pPr>
      <w:contextualSpacing w:val="true"/>
      <w:ind w:left="720" w:firstLine="0"/>
      <w:spacing w:after="200" w:before="0"/>
    </w:pPr>
  </w:style>
  <w:style w:type="paragraph" w:styleId="623" w:customStyle="1">
    <w:name w:val="Default"/>
    <w:qFormat/>
    <w:rPr>
      <w:rFonts w:ascii="Times New Roman" w:hAnsi="Times New Roman" w:cs="Times New Roman" w:eastAsia="Calibri"/>
      <w:color w:val="000000"/>
      <w:sz w:val="24"/>
      <w:szCs w:val="24"/>
      <w:lang w:val="pl-PL" w:bidi="ar-SA" w:eastAsia="en-US"/>
    </w:rPr>
    <w:pPr>
      <w:jc w:val="left"/>
      <w:spacing w:lineRule="auto" w:line="240" w:after="0" w:before="0"/>
      <w:widowControl/>
    </w:pPr>
  </w:style>
  <w:style w:type="paragraph" w:styleId="624">
    <w:name w:val="Balloon Text"/>
    <w:basedOn w:val="610"/>
    <w:link w:val="614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numbering" w:styleId="625" w:default="1">
    <w:name w:val="No List"/>
    <w:uiPriority w:val="99"/>
    <w:semiHidden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dc:language>pl-PL</dc:language>
  <cp:revision>29</cp:revision>
  <dcterms:created xsi:type="dcterms:W3CDTF">2018-05-24T10:36:00Z</dcterms:created>
  <dcterms:modified xsi:type="dcterms:W3CDTF">2022-08-25T07:06:52Z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